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4E532BB" wp14:paraId="7E69F254" wp14:textId="749D9B5F">
      <w:pPr>
        <w:spacing w:before="0" w:beforeAutospacing="off" w:after="0" w:afterAutospacing="off" w:line="257" w:lineRule="auto"/>
      </w:pPr>
      <w:r w:rsidRPr="24E532BB" w:rsidR="3F33A1E7">
        <w:rPr>
          <w:rFonts w:ascii="Arial" w:hAnsi="Arial" w:eastAsia="Arial" w:cs="Arial"/>
          <w:b w:val="1"/>
          <w:bCs w:val="1"/>
          <w:noProof w:val="0"/>
          <w:color w:val="FD5000"/>
          <w:sz w:val="32"/>
          <w:szCs w:val="32"/>
          <w:lang w:val="en-US"/>
        </w:rPr>
        <w:t xml:space="preserve">Illinois Adopts Pay Transparency Final Rules </w:t>
      </w:r>
    </w:p>
    <w:p xmlns:wp14="http://schemas.microsoft.com/office/word/2010/wordml" w:rsidP="24E532BB" wp14:paraId="128A6A05" wp14:textId="5120CF98">
      <w:pPr>
        <w:spacing w:before="0" w:beforeAutospacing="off" w:after="0" w:afterAutospacing="off" w:line="257" w:lineRule="auto"/>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46888BED" wp14:textId="071C7BED">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Illinois Department of Labor (IL DOL) recently adopted </w:t>
      </w:r>
      <w:hyperlink r:id="R80ca71aaaffd4286">
        <w:r w:rsidRPr="24E532BB" w:rsidR="3F33A1E7">
          <w:rPr>
            <w:rStyle w:val="Hyperlink"/>
            <w:rFonts w:ascii="Arial" w:hAnsi="Arial" w:eastAsia="Arial" w:cs="Arial"/>
            <w:noProof w:val="0"/>
            <w:color w:val="1C02D8"/>
            <w:lang w:val="en-US"/>
          </w:rPr>
          <w:t>final rules</w:t>
        </w:r>
      </w:hyperlink>
      <w:hyperlink r:id="Ra9775eda3c25445d">
        <w:r w:rsidRPr="24E532BB" w:rsidR="3F33A1E7">
          <w:rPr>
            <w:rStyle w:val="Hyperlink"/>
            <w:rFonts w:ascii="Arial" w:hAnsi="Arial" w:eastAsia="Arial" w:cs="Arial"/>
            <w:strike w:val="0"/>
            <w:dstrike w:val="0"/>
            <w:noProof w:val="0"/>
            <w:color w:val="000000" w:themeColor="text1" w:themeTint="FF" w:themeShade="FF"/>
            <w:lang w:val="en-US"/>
          </w:rPr>
          <w:t xml:space="preserve"> </w:t>
        </w:r>
      </w:hyperlink>
      <w:r w:rsidRPr="24E532BB" w:rsidR="3F33A1E7">
        <w:rPr>
          <w:rFonts w:ascii="Arial" w:hAnsi="Arial" w:eastAsia="Arial" w:cs="Arial"/>
          <w:noProof w:val="0"/>
          <w:color w:val="000000" w:themeColor="text1" w:themeTint="FF" w:themeShade="FF"/>
          <w:sz w:val="24"/>
          <w:szCs w:val="24"/>
          <w:lang w:val="en-US"/>
        </w:rPr>
        <w:t xml:space="preserve">implementing pay transparency requirements under the Illinois Equal Pay Act (the “Act”), providing </w:t>
      </w:r>
      <w:r w:rsidRPr="24E532BB" w:rsidR="3F33A1E7">
        <w:rPr>
          <w:rFonts w:ascii="Arial" w:hAnsi="Arial" w:eastAsia="Arial" w:cs="Arial"/>
          <w:noProof w:val="0"/>
          <w:color w:val="000000" w:themeColor="text1" w:themeTint="FF" w:themeShade="FF"/>
          <w:sz w:val="24"/>
          <w:szCs w:val="24"/>
          <w:lang w:val="en-US"/>
        </w:rPr>
        <w:t>additional</w:t>
      </w:r>
      <w:r w:rsidRPr="24E532BB" w:rsidR="3F33A1E7">
        <w:rPr>
          <w:rFonts w:ascii="Arial" w:hAnsi="Arial" w:eastAsia="Arial" w:cs="Arial"/>
          <w:noProof w:val="0"/>
          <w:color w:val="000000" w:themeColor="text1" w:themeTint="FF" w:themeShade="FF"/>
          <w:sz w:val="24"/>
          <w:szCs w:val="24"/>
          <w:lang w:val="en-US"/>
        </w:rPr>
        <w:t xml:space="preserve"> clarity and guidance on several terms under the Act</w:t>
      </w:r>
      <w:r w:rsidRPr="24E532BB" w:rsidR="3F33A1E7">
        <w:rPr>
          <w:rFonts w:ascii="Arial" w:hAnsi="Arial" w:eastAsia="Arial" w:cs="Arial"/>
          <w:noProof w:val="0"/>
          <w:color w:val="000000" w:themeColor="text1" w:themeTint="FF" w:themeShade="FF"/>
          <w:sz w:val="24"/>
          <w:szCs w:val="24"/>
          <w:lang w:val="en-US"/>
        </w:rPr>
        <w:t>.</w:t>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7A0B9D26" wp14:textId="590762F5">
      <w:pPr>
        <w:pStyle w:val="Normal"/>
        <w:spacing w:before="0" w:beforeAutospacing="off" w:after="0" w:afterAutospacing="off" w:line="250" w:lineRule="auto"/>
        <w:ind w:left="0" w:right="0" w:hanging="0"/>
        <w:rPr>
          <w:rFonts w:ascii="Arial" w:hAnsi="Arial" w:eastAsia="Arial" w:cs="Arial"/>
          <w:b w:val="1"/>
          <w:bCs w:val="1"/>
          <w:noProof w:val="0"/>
          <w:color w:val="0B0134"/>
          <w:sz w:val="24"/>
          <w:szCs w:val="24"/>
          <w:lang w:val="en-US"/>
        </w:rPr>
      </w:pPr>
    </w:p>
    <w:p xmlns:wp14="http://schemas.microsoft.com/office/word/2010/wordml" w:rsidP="24E532BB" wp14:paraId="11A21F17" wp14:textId="24963FD3">
      <w:pPr>
        <w:pStyle w:val="Normal"/>
        <w:spacing w:before="0" w:beforeAutospacing="off" w:after="0" w:afterAutospacing="off" w:line="250" w:lineRule="auto"/>
        <w:ind w:left="0" w:right="0" w:hanging="0"/>
        <w:rPr>
          <w:rFonts w:ascii="Arial" w:hAnsi="Arial" w:eastAsia="Arial" w:cs="Arial"/>
          <w:b w:val="1"/>
          <w:bCs w:val="1"/>
          <w:noProof w:val="0"/>
          <w:color w:val="0B0134"/>
          <w:sz w:val="24"/>
          <w:szCs w:val="24"/>
          <w:lang w:val="en-US"/>
        </w:rPr>
      </w:pPr>
      <w:r w:rsidRPr="24E532BB" w:rsidR="3F33A1E7">
        <w:rPr>
          <w:rFonts w:ascii="Arial" w:hAnsi="Arial" w:eastAsia="Arial" w:cs="Arial"/>
          <w:b w:val="1"/>
          <w:bCs w:val="1"/>
          <w:noProof w:val="0"/>
          <w:color w:val="0B0134"/>
          <w:sz w:val="24"/>
          <w:szCs w:val="24"/>
          <w:lang w:val="en-US"/>
        </w:rPr>
        <w:t xml:space="preserve">Employers Impacted: </w:t>
      </w:r>
      <w:r w:rsidRPr="24E532BB" w:rsidR="3F33A1E7">
        <w:rPr>
          <w:rFonts w:ascii="Arial" w:hAnsi="Arial" w:eastAsia="Arial" w:cs="Arial"/>
          <w:noProof w:val="0"/>
          <w:color w:val="000000" w:themeColor="text1" w:themeTint="FF" w:themeShade="FF"/>
          <w:sz w:val="24"/>
          <w:szCs w:val="24"/>
          <w:lang w:val="en-US"/>
        </w:rPr>
        <w:t xml:space="preserve">Employers with 15 or more employees nationwide. </w:t>
      </w:r>
      <w:r>
        <w:br/>
      </w:r>
      <w:r>
        <w:br/>
      </w:r>
      <w:r w:rsidRPr="24E532BB" w:rsidR="3F33A1E7">
        <w:rPr>
          <w:rFonts w:ascii="Arial" w:hAnsi="Arial" w:eastAsia="Arial" w:cs="Arial"/>
          <w:b w:val="1"/>
          <w:bCs w:val="1"/>
          <w:noProof w:val="0"/>
          <w:color w:val="0B0134"/>
          <w:sz w:val="24"/>
          <w:szCs w:val="24"/>
          <w:lang w:val="en-US"/>
        </w:rPr>
        <w:t>Effective Date:</w:t>
      </w:r>
      <w:r w:rsidRPr="24E532BB" w:rsidR="3F33A1E7">
        <w:rPr>
          <w:rFonts w:ascii="Arial" w:hAnsi="Arial" w:eastAsia="Arial" w:cs="Arial"/>
          <w:b w:val="1"/>
          <w:bCs w:val="1"/>
          <w:noProof w:val="0"/>
          <w:color w:val="000000" w:themeColor="text1" w:themeTint="FF" w:themeShade="FF"/>
          <w:sz w:val="24"/>
          <w:szCs w:val="24"/>
          <w:lang w:val="en-US"/>
        </w:rPr>
        <w:t xml:space="preserve"> </w:t>
      </w:r>
      <w:r w:rsidRPr="24E532BB" w:rsidR="3F33A1E7">
        <w:rPr>
          <w:rFonts w:ascii="Arial" w:hAnsi="Arial" w:eastAsia="Arial" w:cs="Arial"/>
          <w:noProof w:val="0"/>
          <w:color w:val="000000" w:themeColor="text1" w:themeTint="FF" w:themeShade="FF"/>
          <w:sz w:val="24"/>
          <w:szCs w:val="24"/>
          <w:lang w:val="en-US"/>
        </w:rPr>
        <w:t xml:space="preserve">June 19, 2026. </w:t>
      </w:r>
      <w:r>
        <w:br/>
      </w:r>
      <w:r>
        <w:br/>
      </w:r>
      <w:r w:rsidRPr="24E532BB" w:rsidR="3F33A1E7">
        <w:rPr>
          <w:rFonts w:ascii="Arial" w:hAnsi="Arial" w:eastAsia="Arial" w:cs="Arial"/>
          <w:b w:val="1"/>
          <w:bCs w:val="1"/>
          <w:noProof w:val="0"/>
          <w:color w:val="0B0134"/>
          <w:sz w:val="24"/>
          <w:szCs w:val="24"/>
          <w:lang w:val="en-US"/>
        </w:rPr>
        <w:t xml:space="preserve">Suggested Actions: </w:t>
      </w:r>
    </w:p>
    <w:p xmlns:wp14="http://schemas.microsoft.com/office/word/2010/wordml" w:rsidP="24E532BB" wp14:paraId="6213C953" wp14:textId="3DCE221E">
      <w:pPr>
        <w:pStyle w:val="ListParagraph"/>
        <w:numPr>
          <w:ilvl w:val="0"/>
          <w:numId w:val="6"/>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Review and update all job postings and promotional opportunity announcements, including those published by a third-party, for compliance, specifically to include required information on wages and benefits according to the updated definitions.</w:t>
      </w:r>
    </w:p>
    <w:p xmlns:wp14="http://schemas.microsoft.com/office/word/2010/wordml" w:rsidP="24E532BB" wp14:paraId="268BE5EE" wp14:textId="558050B8">
      <w:pPr>
        <w:pStyle w:val="ListParagraph"/>
        <w:numPr>
          <w:ilvl w:val="0"/>
          <w:numId w:val="6"/>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Create a process for managing notices received from the IL DOL regarding violations.  </w:t>
      </w:r>
    </w:p>
    <w:p xmlns:wp14="http://schemas.microsoft.com/office/word/2010/wordml" w:rsidP="24E532BB" wp14:paraId="7F12A0B6" wp14:textId="7BF00553">
      <w:pPr>
        <w:pStyle w:val="ListParagraph"/>
        <w:numPr>
          <w:ilvl w:val="0"/>
          <w:numId w:val="6"/>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Revise record retention procedures and schedules as needed to include the categories of records specified in the final rules for at least five years. </w:t>
      </w:r>
    </w:p>
    <w:p xmlns:wp14="http://schemas.microsoft.com/office/word/2010/wordml" w:rsidP="24E532BB" wp14:paraId="15F43593" wp14:textId="314AF2D4">
      <w:pPr>
        <w:pStyle w:val="ListParagraph"/>
        <w:numPr>
          <w:ilvl w:val="0"/>
          <w:numId w:val="6"/>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Train managers, recruitment personnel, and HR staff on applicable updates including job posting requirements and recruitment related processes</w:t>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1FC20E3A" wp14:textId="14CC560D">
      <w:pPr>
        <w:pStyle w:val="Normal"/>
        <w:spacing w:before="0" w:beforeAutospacing="off" w:after="0" w:afterAutospacing="off" w:line="250" w:lineRule="auto"/>
        <w:ind w:left="0" w:right="0"/>
        <w:rPr>
          <w:rFonts w:ascii="Arial" w:hAnsi="Arial" w:eastAsia="Arial" w:cs="Arial"/>
          <w:b w:val="1"/>
          <w:bCs w:val="1"/>
          <w:noProof w:val="0"/>
          <w:color w:val="0B0134"/>
          <w:sz w:val="24"/>
          <w:szCs w:val="24"/>
          <w:lang w:val="en-US"/>
        </w:rPr>
      </w:pPr>
    </w:p>
    <w:p xmlns:wp14="http://schemas.microsoft.com/office/word/2010/wordml" w:rsidP="24E532BB" wp14:paraId="5123C26C" wp14:textId="3F862A9B">
      <w:pPr>
        <w:pStyle w:val="Normal"/>
        <w:spacing w:before="0" w:beforeAutospacing="off" w:after="0" w:afterAutospacing="off" w:line="250" w:lineRule="auto"/>
        <w:ind w:left="0"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b w:val="1"/>
          <w:bCs w:val="1"/>
          <w:noProof w:val="0"/>
          <w:color w:val="0B0134"/>
          <w:sz w:val="24"/>
          <w:szCs w:val="24"/>
          <w:lang w:val="en-US"/>
        </w:rPr>
        <w:t xml:space="preserve">Summary: </w:t>
      </w:r>
      <w:r>
        <w:br/>
      </w:r>
      <w:r w:rsidRPr="24E532BB" w:rsidR="3F33A1E7">
        <w:rPr>
          <w:rFonts w:ascii="Arial" w:hAnsi="Arial" w:eastAsia="Arial" w:cs="Arial"/>
          <w:noProof w:val="0"/>
          <w:color w:val="000000" w:themeColor="text1" w:themeTint="FF" w:themeShade="FF"/>
          <w:sz w:val="24"/>
          <w:szCs w:val="24"/>
          <w:lang w:val="en-US"/>
        </w:rPr>
        <w:t xml:space="preserve">Review the following updates related to the Act based on the final rule: </w:t>
      </w:r>
      <w:r>
        <w:br/>
      </w:r>
      <w:r>
        <w:br/>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5B8D6ECB" wp14:textId="397891F4">
      <w:pPr>
        <w:pStyle w:val="Heading1"/>
        <w:spacing w:before="0" w:beforeAutospacing="off" w:after="0" w:afterAutospacing="off" w:line="257" w:lineRule="auto"/>
        <w:ind w:left="-5" w:right="0" w:hanging="10"/>
        <w:rPr>
          <w:rFonts w:ascii="Arial" w:hAnsi="Arial" w:eastAsia="Arial" w:cs="Arial"/>
          <w:b w:val="1"/>
          <w:bCs w:val="1"/>
          <w:noProof w:val="0"/>
          <w:color w:val="FD5000"/>
          <w:sz w:val="24"/>
          <w:szCs w:val="24"/>
          <w:lang w:val="en-US"/>
        </w:rPr>
      </w:pPr>
      <w:r w:rsidRPr="24E532BB" w:rsidR="3F33A1E7">
        <w:rPr>
          <w:rFonts w:ascii="Arial" w:hAnsi="Arial" w:eastAsia="Arial" w:cs="Arial"/>
          <w:b w:val="1"/>
          <w:bCs w:val="1"/>
          <w:noProof w:val="0"/>
          <w:color w:val="FD5000"/>
          <w:sz w:val="24"/>
          <w:szCs w:val="24"/>
          <w:lang w:val="en-US"/>
        </w:rPr>
        <w:t xml:space="preserve">Definitions Under Final Rules </w:t>
      </w:r>
    </w:p>
    <w:p xmlns:wp14="http://schemas.microsoft.com/office/word/2010/wordml" w:rsidP="24E532BB" wp14:paraId="286F7951" wp14:textId="5C3C5EAA">
      <w:pPr>
        <w:pStyle w:val="ListParagraph"/>
        <w:numPr>
          <w:ilvl w:val="0"/>
          <w:numId w:val="2"/>
        </w:numPr>
        <w:spacing w:before="0" w:beforeAutospacing="off" w:after="0" w:afterAutospacing="off" w:line="250" w:lineRule="auto"/>
        <w:ind w:left="720" w:right="0" w:hanging="36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“Pay scale and benefits” is defined under the Act as the position’s wage or salary, or a wage or salary range, and a general description of the benefits and other compensation, including but not limited to bonuses, stock options, and </w:t>
      </w:r>
      <w:r w:rsidRPr="24E532BB" w:rsidR="3F33A1E7">
        <w:rPr>
          <w:rFonts w:ascii="Arial" w:hAnsi="Arial" w:eastAsia="Arial" w:cs="Arial"/>
          <w:noProof w:val="0"/>
          <w:color w:val="000000" w:themeColor="text1" w:themeTint="FF" w:themeShade="FF"/>
          <w:sz w:val="24"/>
          <w:szCs w:val="24"/>
          <w:lang w:val="en-US"/>
        </w:rPr>
        <w:t>incentive</w:t>
      </w:r>
      <w:r w:rsidRPr="24E532BB" w:rsidR="4506D5BA">
        <w:rPr>
          <w:rFonts w:ascii="Arial" w:hAnsi="Arial" w:eastAsia="Arial" w:cs="Arial"/>
          <w:noProof w:val="0"/>
          <w:color w:val="000000" w:themeColor="text1" w:themeTint="FF" w:themeShade="FF"/>
          <w:sz w:val="24"/>
          <w:szCs w:val="24"/>
          <w:lang w:val="en-US"/>
        </w:rPr>
        <w:t xml:space="preserve"> </w:t>
      </w:r>
      <w:r w:rsidRPr="24E532BB" w:rsidR="3F33A1E7">
        <w:rPr>
          <w:rFonts w:ascii="Arial" w:hAnsi="Arial" w:eastAsia="Arial" w:cs="Arial"/>
          <w:noProof w:val="0"/>
          <w:color w:val="000000" w:themeColor="text1" w:themeTint="FF" w:themeShade="FF"/>
          <w:sz w:val="24"/>
          <w:szCs w:val="24"/>
          <w:lang w:val="en-US"/>
        </w:rPr>
        <w:t>based</w:t>
      </w:r>
      <w:r w:rsidRPr="24E532BB" w:rsidR="3F33A1E7">
        <w:rPr>
          <w:rFonts w:ascii="Arial" w:hAnsi="Arial" w:eastAsia="Arial" w:cs="Arial"/>
          <w:noProof w:val="0"/>
          <w:color w:val="000000" w:themeColor="text1" w:themeTint="FF" w:themeShade="FF"/>
          <w:sz w:val="24"/>
          <w:szCs w:val="24"/>
          <w:lang w:val="en-US"/>
        </w:rPr>
        <w:t xml:space="preserve"> compensation. </w:t>
      </w:r>
    </w:p>
    <w:p xmlns:wp14="http://schemas.microsoft.com/office/word/2010/wordml" w:rsidP="24E532BB" wp14:paraId="71F87760" wp14:textId="14F817FC">
      <w:pPr>
        <w:pStyle w:val="ListParagraph"/>
        <w:numPr>
          <w:ilvl w:val="0"/>
          <w:numId w:val="2"/>
        </w:numPr>
        <w:spacing w:before="0" w:beforeAutospacing="off" w:after="0" w:afterAutospacing="off" w:line="250" w:lineRule="auto"/>
        <w:ind w:left="720" w:right="0" w:hanging="36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“Benefits” include all employment benefits an employer is offering to provide or make available to a person hired into a position, including health care benefits, retirement benefits, any benefits permitting paid time off (including sick leave, parental leave, and paid time off or vacation benefits), any benefits permitting job protected paid time off, and any other benefits that must be reported for federal income tax purposes. However, specific details, terms and conditions, or dollar values of benefits are not required. </w:t>
      </w:r>
    </w:p>
    <w:p xmlns:wp14="http://schemas.microsoft.com/office/word/2010/wordml" w:rsidP="24E532BB" wp14:paraId="76BEE795" wp14:textId="6A0EC5CC">
      <w:pPr>
        <w:pStyle w:val="ListParagraph"/>
        <w:numPr>
          <w:ilvl w:val="0"/>
          <w:numId w:val="2"/>
        </w:numPr>
        <w:spacing w:before="0" w:beforeAutospacing="off" w:after="0" w:afterAutospacing="off" w:line="250" w:lineRule="auto"/>
        <w:ind w:left="720" w:right="0" w:hanging="36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“Promotional opportunity” is an employment opportunity announced, posted, published, or otherwise made known in writing by an employer or a third party the employer has engaged to act on its behalf to its current employees. </w:t>
      </w:r>
    </w:p>
    <w:p xmlns:wp14="http://schemas.microsoft.com/office/word/2010/wordml" w:rsidP="24E532BB" wp14:paraId="76EA9C2D" wp14:textId="7D633CB3">
      <w:pPr>
        <w:pStyle w:val="ListParagraph"/>
        <w:numPr>
          <w:ilvl w:val="0"/>
          <w:numId w:val="2"/>
        </w:numPr>
        <w:spacing w:before="0" w:beforeAutospacing="off" w:after="0" w:afterAutospacing="off" w:line="240" w:lineRule="auto"/>
        <w:ind w:left="720" w:right="0" w:hanging="36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“Wage and salary” history includes any information related to an employee or job applicant’s current or past earnings at any point of time. As a reminder, the Act makes it unlawful for an employer to screen applicants based on their current or prior wages or salaries as well as to request or require wage or salary history as a condition of being considered for employment. </w:t>
      </w:r>
      <w:r>
        <w:br/>
      </w:r>
      <w:r>
        <w:br/>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39983EB9" wp14:textId="6A77231D">
      <w:pPr>
        <w:pStyle w:val="Heading1"/>
        <w:spacing w:before="0" w:beforeAutospacing="off" w:after="0" w:afterAutospacing="off" w:line="257" w:lineRule="auto"/>
        <w:ind w:left="-5" w:right="0" w:hanging="10"/>
        <w:rPr>
          <w:rFonts w:ascii="Arial" w:hAnsi="Arial" w:eastAsia="Arial" w:cs="Arial"/>
          <w:b w:val="1"/>
          <w:bCs w:val="1"/>
          <w:noProof w:val="0"/>
          <w:color w:val="FD5000"/>
          <w:sz w:val="24"/>
          <w:szCs w:val="24"/>
          <w:lang w:val="en-US"/>
        </w:rPr>
      </w:pPr>
      <w:r w:rsidRPr="24E532BB" w:rsidR="3F33A1E7">
        <w:rPr>
          <w:rFonts w:ascii="Arial" w:hAnsi="Arial" w:eastAsia="Arial" w:cs="Arial"/>
          <w:b w:val="1"/>
          <w:bCs w:val="1"/>
          <w:noProof w:val="0"/>
          <w:color w:val="FD5000"/>
          <w:sz w:val="24"/>
          <w:szCs w:val="24"/>
          <w:lang w:val="en-US"/>
        </w:rPr>
        <w:t xml:space="preserve">Job Posting Information </w:t>
      </w:r>
    </w:p>
    <w:p xmlns:wp14="http://schemas.microsoft.com/office/word/2010/wordml" w:rsidP="24E532BB" wp14:paraId="549D6030" wp14:textId="14D151C0">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Act now specifies that “job postings” are a written announcement that an employer is seeking to hire or is accepting applications for a specific position, whether announced, posted, published, or a promotional opportunity. Job postings do not include general announcements that do not identify a specific job title and do not include help wanted signs. </w:t>
      </w:r>
    </w:p>
    <w:p xmlns:wp14="http://schemas.microsoft.com/office/word/2010/wordml" w:rsidP="24E532BB" wp14:paraId="1594C471" wp14:textId="166AC4E8">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1EEDFC90" wp14:textId="65BBA7B7">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Employers must announce, post, or make known to all current employees position promotional opportunities within 14 days after the employer makes the job available externally. </w:t>
      </w:r>
    </w:p>
    <w:p xmlns:wp14="http://schemas.microsoft.com/office/word/2010/wordml" w:rsidP="24E532BB" wp14:paraId="6B390E62" wp14:textId="5ABCD6BF">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2B05EB5E" wp14:textId="7F93B43E">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For active postings, the final rule notes that the following cure periods will apply: </w:t>
      </w:r>
    </w:p>
    <w:p xmlns:wp14="http://schemas.microsoft.com/office/word/2010/wordml" w:rsidP="24E532BB" wp14:paraId="706E3F5C" wp14:textId="7CAB5B7B">
      <w:pPr>
        <w:pStyle w:val="ListParagraph"/>
        <w:numPr>
          <w:ilvl w:val="0"/>
          <w:numId w:val="8"/>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For the first offense, employers will have a 14-day cure period to correct any violations. </w:t>
      </w:r>
    </w:p>
    <w:p xmlns:wp14="http://schemas.microsoft.com/office/word/2010/wordml" w:rsidP="24E532BB" wp14:paraId="2353123F" wp14:textId="23E670AA">
      <w:pPr>
        <w:pStyle w:val="ListParagraph"/>
        <w:numPr>
          <w:ilvl w:val="0"/>
          <w:numId w:val="8"/>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For the second offense, employers will have a seven-day cure period to correct any violations. </w:t>
      </w:r>
      <w:r>
        <w:br/>
      </w:r>
      <w:r>
        <w:br/>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61448B9B" wp14:textId="1E0B443D">
      <w:pPr>
        <w:pStyle w:val="Heading1"/>
        <w:spacing w:before="0" w:beforeAutospacing="off" w:after="0" w:afterAutospacing="off" w:line="257" w:lineRule="auto"/>
        <w:ind w:left="-5" w:right="0" w:hanging="10"/>
        <w:rPr>
          <w:rFonts w:ascii="Arial" w:hAnsi="Arial" w:eastAsia="Arial" w:cs="Arial"/>
          <w:b w:val="1"/>
          <w:bCs w:val="1"/>
          <w:noProof w:val="0"/>
          <w:color w:val="000000" w:themeColor="text1" w:themeTint="FF" w:themeShade="FF"/>
          <w:sz w:val="24"/>
          <w:szCs w:val="24"/>
          <w:lang w:val="en-US"/>
        </w:rPr>
      </w:pPr>
      <w:r w:rsidRPr="24E532BB" w:rsidR="3F33A1E7">
        <w:rPr>
          <w:rFonts w:ascii="Arial" w:hAnsi="Arial" w:eastAsia="Arial" w:cs="Arial"/>
          <w:b w:val="1"/>
          <w:bCs w:val="1"/>
          <w:noProof w:val="0"/>
          <w:color w:val="FD5000"/>
          <w:sz w:val="24"/>
          <w:szCs w:val="24"/>
          <w:lang w:val="en-US"/>
        </w:rPr>
        <w:t>Jurisdiction</w:t>
      </w:r>
      <w:r w:rsidRPr="24E532BB" w:rsidR="3F33A1E7">
        <w:rPr>
          <w:rFonts w:ascii="Arial" w:hAnsi="Arial" w:eastAsia="Arial" w:cs="Arial"/>
          <w:b w:val="1"/>
          <w:bCs w:val="1"/>
          <w:noProof w:val="0"/>
          <w:color w:val="000000" w:themeColor="text1" w:themeTint="FF" w:themeShade="FF"/>
          <w:sz w:val="24"/>
          <w:szCs w:val="24"/>
          <w:lang w:val="en-US"/>
        </w:rPr>
        <w:t xml:space="preserve"> </w:t>
      </w:r>
    </w:p>
    <w:p xmlns:wp14="http://schemas.microsoft.com/office/word/2010/wordml" w:rsidP="24E532BB" wp14:paraId="0D3E5947" wp14:textId="121AB286">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final rule clarifies that the jurisdiction of the Act may exist where an employer has any number of employees who physically work, at least in part, either at an Illinois worksite or outside of Illinois but reporting directly to a supervisor, office, or other work site in Illinois. </w:t>
      </w:r>
    </w:p>
    <w:p xmlns:wp14="http://schemas.microsoft.com/office/word/2010/wordml" w:rsidP="24E532BB" wp14:paraId="2AF84CFA" wp14:textId="5E631E6C">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6A522020" wp14:textId="643DA9BB">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Additionally, for alleged violations of pay transparency provisions, </w:t>
      </w:r>
      <w:r w:rsidRPr="24E532BB" w:rsidR="3F33A1E7">
        <w:rPr>
          <w:rFonts w:ascii="Arial" w:hAnsi="Arial" w:eastAsia="Arial" w:cs="Arial"/>
          <w:noProof w:val="0"/>
          <w:color w:val="000000" w:themeColor="text1" w:themeTint="FF" w:themeShade="FF"/>
          <w:sz w:val="24"/>
          <w:szCs w:val="24"/>
          <w:lang w:val="en-US"/>
        </w:rPr>
        <w:t>jurisdiction</w:t>
      </w:r>
      <w:r w:rsidRPr="24E532BB" w:rsidR="3F33A1E7">
        <w:rPr>
          <w:rFonts w:ascii="Arial" w:hAnsi="Arial" w:eastAsia="Arial" w:cs="Arial"/>
          <w:noProof w:val="0"/>
          <w:color w:val="000000" w:themeColor="text1" w:themeTint="FF" w:themeShade="FF"/>
          <w:sz w:val="24"/>
          <w:szCs w:val="24"/>
          <w:lang w:val="en-US"/>
        </w:rPr>
        <w:t xml:space="preserve"> may exist when an employer with 15 or more employees in any place announces, posts, publishes, or </w:t>
      </w:r>
      <w:r w:rsidRPr="24E532BB" w:rsidR="3F33A1E7">
        <w:rPr>
          <w:rFonts w:ascii="Arial" w:hAnsi="Arial" w:eastAsia="Arial" w:cs="Arial"/>
          <w:noProof w:val="0"/>
          <w:color w:val="000000" w:themeColor="text1" w:themeTint="FF" w:themeShade="FF"/>
          <w:sz w:val="24"/>
          <w:szCs w:val="24"/>
          <w:lang w:val="en-US"/>
        </w:rPr>
        <w:t xml:space="preserve">otherwise makes known a specific job posting for a position that will be physically performed either (1) in Illinois (at least in part), or (2) outside of </w:t>
      </w:r>
      <w:r w:rsidRPr="24E532BB" w:rsidR="3F33A1E7">
        <w:rPr>
          <w:rFonts w:ascii="Arial" w:hAnsi="Arial" w:eastAsia="Arial" w:cs="Arial"/>
          <w:noProof w:val="0"/>
          <w:color w:val="000000" w:themeColor="text1" w:themeTint="FF" w:themeShade="FF"/>
          <w:sz w:val="24"/>
          <w:szCs w:val="24"/>
          <w:lang w:val="en-US"/>
        </w:rPr>
        <w:t>Illinois</w:t>
      </w:r>
      <w:r w:rsidRPr="24E532BB" w:rsidR="3F33A1E7">
        <w:rPr>
          <w:rFonts w:ascii="Arial" w:hAnsi="Arial" w:eastAsia="Arial" w:cs="Arial"/>
          <w:noProof w:val="0"/>
          <w:color w:val="000000" w:themeColor="text1" w:themeTint="FF" w:themeShade="FF"/>
          <w:sz w:val="24"/>
          <w:szCs w:val="24"/>
          <w:lang w:val="en-US"/>
        </w:rPr>
        <w:t xml:space="preserve"> but the position reports to a supervisor, office, or worksite in Illinois. </w:t>
      </w:r>
    </w:p>
    <w:p xmlns:wp14="http://schemas.microsoft.com/office/word/2010/wordml" w:rsidP="24E532BB" wp14:paraId="54707172" wp14:textId="7D48096B">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55BD2A94" wp14:textId="0FC27622">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IL DOL may consider the following when determining if jurisdiction exists: </w:t>
      </w:r>
    </w:p>
    <w:p xmlns:wp14="http://schemas.microsoft.com/office/word/2010/wordml" w:rsidP="24E532BB" wp14:paraId="43F712EF" wp14:textId="22BC81DC">
      <w:pPr>
        <w:pStyle w:val="ListParagraph"/>
        <w:numPr>
          <w:ilvl w:val="0"/>
          <w:numId w:val="10"/>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amount of work performed in Illinois compared to the amount of work performed outside of Illinois; </w:t>
      </w:r>
    </w:p>
    <w:p xmlns:wp14="http://schemas.microsoft.com/office/word/2010/wordml" w:rsidP="24E532BB" wp14:paraId="2E9C9B8A" wp14:textId="60BDC40E">
      <w:pPr>
        <w:pStyle w:val="ListParagraph"/>
        <w:numPr>
          <w:ilvl w:val="0"/>
          <w:numId w:val="10"/>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Whether the work performed in Illinois is isolated, temporary, or transitory; or </w:t>
      </w:r>
    </w:p>
    <w:p xmlns:wp14="http://schemas.microsoft.com/office/word/2010/wordml" w:rsidP="24E532BB" wp14:paraId="2FAF9F54" wp14:textId="6B1E0EB9">
      <w:pPr>
        <w:pStyle w:val="ListParagraph"/>
        <w:numPr>
          <w:ilvl w:val="0"/>
          <w:numId w:val="10"/>
        </w:numPr>
        <w:spacing w:before="0" w:beforeAutospacing="off" w:after="0" w:afterAutospacing="off" w:line="250" w:lineRule="auto"/>
        <w:ind w:right="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Whether the work performed outside of Illinois is of the same nature or has the same duties of the work performed in Illinois. </w:t>
      </w:r>
      <w:r>
        <w:br/>
      </w:r>
      <w:r>
        <w:br/>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2D80A42C" wp14:textId="1E3944F3">
      <w:pPr>
        <w:pStyle w:val="Heading1"/>
        <w:spacing w:before="0" w:beforeAutospacing="off" w:after="0" w:afterAutospacing="off" w:line="257" w:lineRule="auto"/>
        <w:ind w:left="-5" w:right="0" w:hanging="10"/>
        <w:rPr>
          <w:rFonts w:ascii="Arial" w:hAnsi="Arial" w:eastAsia="Arial" w:cs="Arial"/>
          <w:b w:val="1"/>
          <w:bCs w:val="1"/>
          <w:noProof w:val="0"/>
          <w:color w:val="FD5000"/>
          <w:sz w:val="24"/>
          <w:szCs w:val="24"/>
          <w:lang w:val="en-US"/>
        </w:rPr>
      </w:pPr>
      <w:r w:rsidRPr="24E532BB" w:rsidR="3F33A1E7">
        <w:rPr>
          <w:rFonts w:ascii="Arial" w:hAnsi="Arial" w:eastAsia="Arial" w:cs="Arial"/>
          <w:b w:val="1"/>
          <w:bCs w:val="1"/>
          <w:noProof w:val="0"/>
          <w:color w:val="FD5000"/>
          <w:sz w:val="24"/>
          <w:szCs w:val="24"/>
          <w:lang w:val="en-US"/>
        </w:rPr>
        <w:t xml:space="preserve">Record Retention </w:t>
      </w:r>
    </w:p>
    <w:p xmlns:wp14="http://schemas.microsoft.com/office/word/2010/wordml" w:rsidP="24E532BB" wp14:paraId="1BBA6449" wp14:textId="62799FFC">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Act now requires employers to preserve records that document the pay scale and benefits for each job posting as well as the promotional opportunities communicated to current employees as required by the Act. Records should be maintained for no less than five years, unless the records relate to an ongoing investigation or enforcement action under the Act. </w:t>
      </w:r>
    </w:p>
    <w:p xmlns:wp14="http://schemas.microsoft.com/office/word/2010/wordml" w:rsidP="24E532BB" wp14:paraId="7C57C2DF" wp14:textId="5325B694">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03DBB49C" wp14:textId="16D2AE88">
      <w:pPr>
        <w:pStyle w:val="Heading1"/>
        <w:spacing w:before="0" w:beforeAutospacing="off" w:after="0" w:afterAutospacing="off" w:line="257" w:lineRule="auto"/>
        <w:ind w:left="-5" w:right="0" w:hanging="10"/>
        <w:rPr>
          <w:rFonts w:ascii="Arial" w:hAnsi="Arial" w:eastAsia="Arial" w:cs="Arial"/>
          <w:b w:val="1"/>
          <w:bCs w:val="1"/>
          <w:noProof w:val="0"/>
          <w:color w:val="FD5000"/>
          <w:sz w:val="24"/>
          <w:szCs w:val="24"/>
          <w:lang w:val="en-US"/>
        </w:rPr>
      </w:pPr>
      <w:r w:rsidRPr="24E532BB" w:rsidR="3F33A1E7">
        <w:rPr>
          <w:rFonts w:ascii="Arial" w:hAnsi="Arial" w:eastAsia="Arial" w:cs="Arial"/>
          <w:b w:val="1"/>
          <w:bCs w:val="1"/>
          <w:noProof w:val="0"/>
          <w:color w:val="FD5000"/>
          <w:sz w:val="24"/>
          <w:szCs w:val="24"/>
          <w:lang w:val="en-US"/>
        </w:rPr>
        <w:t xml:space="preserve">Enforcement Procedures </w:t>
      </w:r>
    </w:p>
    <w:p xmlns:wp14="http://schemas.microsoft.com/office/word/2010/wordml" w:rsidP="24E532BB" wp14:paraId="7026576F" wp14:textId="0227A519">
      <w:pPr>
        <w:spacing w:before="0" w:beforeAutospacing="off" w:after="5" w:afterAutospacing="off" w:line="250" w:lineRule="auto"/>
        <w:ind w:left="-5" w:right="0" w:hanging="10"/>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The final rule also updates enforcement provisions, including a schedule of penalties for the job posting with specific cure periods and pay equity violations. It also clarified the types of determinations the IL DOL may render on a complaint and the associated notice to the parties the IL DOL must provide. The schedule of penalties can be found in Section 320.260, “Enforcement, Penalties and Relief” of the </w:t>
      </w:r>
      <w:hyperlink r:id="R95f6496fc435478e">
        <w:r w:rsidRPr="24E532BB" w:rsidR="3F33A1E7">
          <w:rPr>
            <w:rStyle w:val="Hyperlink"/>
            <w:rFonts w:ascii="Arial" w:hAnsi="Arial" w:eastAsia="Arial" w:cs="Arial"/>
            <w:noProof w:val="0"/>
            <w:color w:val="1C02D8"/>
            <w:lang w:val="en-US"/>
          </w:rPr>
          <w:t>Illinois Register</w:t>
        </w:r>
      </w:hyperlink>
      <w:hyperlink r:id="R51d6c78b2a1644c5">
        <w:r w:rsidRPr="24E532BB" w:rsidR="3F33A1E7">
          <w:rPr>
            <w:rStyle w:val="Hyperlink"/>
            <w:rFonts w:ascii="Arial" w:hAnsi="Arial" w:eastAsia="Arial" w:cs="Arial"/>
            <w:strike w:val="0"/>
            <w:dstrike w:val="0"/>
            <w:noProof w:val="0"/>
            <w:color w:val="000000" w:themeColor="text1" w:themeTint="FF" w:themeShade="FF"/>
            <w:lang w:val="en-US"/>
          </w:rPr>
          <w:t>.</w:t>
        </w:r>
      </w:hyperlink>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022404FF" wp14:textId="34E887C5">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16693F2F" wp14:textId="690F827A">
      <w:pPr>
        <w:keepNext w:val="1"/>
        <w:keepLines w:val="1"/>
        <w:spacing w:after="5" w:line="250" w:lineRule="auto"/>
        <w:ind w:left="0" w:hanging="10" w:firstLine="0"/>
        <w:rPr>
          <w:rFonts w:ascii="Arial" w:hAnsi="Arial" w:eastAsia="Arial" w:cs="Arial"/>
          <w:noProof w:val="0"/>
          <w:sz w:val="24"/>
          <w:szCs w:val="24"/>
          <w:lang w:val="en-US"/>
        </w:rPr>
      </w:pPr>
      <w:r w:rsidRPr="24E532BB" w:rsidR="6E7ED30C">
        <w:rPr>
          <w:rFonts w:ascii="Arial" w:hAnsi="Arial" w:eastAsia="Arial" w:cs="Arial"/>
          <w:b w:val="0"/>
          <w:bCs w:val="0"/>
          <w:i w:val="0"/>
          <w:iCs w:val="0"/>
          <w:caps w:val="0"/>
          <w:smallCaps w:val="0"/>
          <w:noProof w:val="0"/>
          <w:color w:val="000000" w:themeColor="text1" w:themeTint="FF" w:themeShade="FF"/>
          <w:sz w:val="24"/>
          <w:szCs w:val="24"/>
          <w:lang w:val="en-US"/>
        </w:rPr>
        <w:t>For questions, log in to TriNet (login.TriNet.com) and go to the Administrator Dashboard. Use the “Contact HR Plus Support” Quick Link to connect with an HR Advisor. If you have an assigned HR Manager, you may also reach out to them directly or through the “Contact HR Plus Support” link.</w:t>
      </w:r>
    </w:p>
    <w:p xmlns:wp14="http://schemas.microsoft.com/office/word/2010/wordml" w:rsidP="24E532BB" wp14:paraId="642FC383" wp14:textId="7C77DAE7">
      <w:pPr>
        <w:spacing w:before="0" w:beforeAutospacing="off" w:after="0" w:afterAutospacing="off" w:line="257" w:lineRule="auto"/>
        <w:rPr>
          <w:rFonts w:ascii="Arial" w:hAnsi="Arial" w:eastAsia="Arial" w:cs="Arial"/>
          <w:noProof w:val="0"/>
          <w:color w:val="000000" w:themeColor="text1" w:themeTint="FF" w:themeShade="FF"/>
          <w:sz w:val="24"/>
          <w:szCs w:val="24"/>
          <w:lang w:val="en-US"/>
        </w:rPr>
      </w:pPr>
    </w:p>
    <w:p xmlns:wp14="http://schemas.microsoft.com/office/word/2010/wordml" w:rsidP="24E532BB" wp14:paraId="25BB2569" wp14:textId="240952F5">
      <w:pPr>
        <w:spacing w:before="0" w:beforeAutospacing="off" w:after="0" w:afterAutospacing="off" w:line="257" w:lineRule="auto"/>
      </w:pP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0BE79AF0" wp14:textId="588F2E05">
      <w:pPr>
        <w:spacing w:before="0" w:beforeAutospacing="off" w:after="1" w:afterAutospacing="off" w:line="235" w:lineRule="auto"/>
        <w:ind w:left="-5" w:right="0" w:hanging="10"/>
      </w:pPr>
      <w:r w:rsidRPr="24E532BB" w:rsidR="3F33A1E7">
        <w:rPr>
          <w:rFonts w:ascii="Arial" w:hAnsi="Arial" w:eastAsia="Arial" w:cs="Arial"/>
          <w:noProof w:val="0"/>
          <w:color w:val="000000" w:themeColor="text1" w:themeTint="FF" w:themeShade="FF"/>
          <w:sz w:val="15"/>
          <w:szCs w:val="15"/>
          <w:lang w:val="en-US"/>
        </w:rPr>
        <w:t xml:space="preserve">© 2026 TriNet Group, Inc. All rights reserved. This communication is for informational purposes only, is not legal, tax or accounting advice, and is not an offer to sell, buy or procure insurance. TriNet is the single-employer sponsor of all its benefit plans, which does not include Enrich products and voluntary benefits that are not ERISA-covered group health insurance plans and enrollment is voluntary. Official plan documents always control and TriNet reserves the right to amend the benefit plans or change the offerings and deadlines.   </w:t>
      </w:r>
    </w:p>
    <w:p xmlns:wp14="http://schemas.microsoft.com/office/word/2010/wordml" w:rsidP="24E532BB" wp14:paraId="7D094D58" wp14:textId="563D495C">
      <w:pPr>
        <w:spacing w:before="0" w:beforeAutospacing="off" w:after="0" w:afterAutospacing="off" w:line="257" w:lineRule="auto"/>
      </w:pPr>
      <w:r w:rsidRPr="24E532BB" w:rsidR="3F33A1E7">
        <w:rPr>
          <w:rFonts w:ascii="Arial" w:hAnsi="Arial" w:eastAsia="Arial" w:cs="Arial"/>
          <w:noProof w:val="0"/>
          <w:color w:val="000000" w:themeColor="text1" w:themeTint="FF" w:themeShade="FF"/>
          <w:sz w:val="15"/>
          <w:szCs w:val="15"/>
          <w:lang w:val="en-US"/>
        </w:rPr>
        <w:t xml:space="preserve"> </w:t>
      </w:r>
    </w:p>
    <w:p xmlns:wp14="http://schemas.microsoft.com/office/word/2010/wordml" w:rsidP="24E532BB" wp14:paraId="7577840F" wp14:textId="156625CB">
      <w:pPr>
        <w:spacing w:before="0" w:beforeAutospacing="off" w:after="1" w:afterAutospacing="off" w:line="235" w:lineRule="auto"/>
        <w:ind w:left="-5" w:right="258" w:hanging="10"/>
      </w:pPr>
      <w:r w:rsidRPr="24E532BB" w:rsidR="3F33A1E7">
        <w:rPr>
          <w:rFonts w:ascii="Arial" w:hAnsi="Arial" w:eastAsia="Arial" w:cs="Arial"/>
          <w:noProof w:val="0"/>
          <w:color w:val="000000" w:themeColor="text1" w:themeTint="FF" w:themeShade="FF"/>
          <w:sz w:val="15"/>
          <w:szCs w:val="15"/>
          <w:lang w:val="en-US"/>
        </w:rPr>
        <w:t xml:space="preserve">This communication may contain hyperlinks to websites operated by parties other than TriNet. Such hyperlinks are provided for reference only. TriNet does not control such web sites and is not responsible for their content. Inclusion of such hyperlinks in this communication does not necessarily imply any endorsement of the material or association with their operators.   </w:t>
      </w:r>
      <w:r w:rsidRPr="24E532BB" w:rsidR="3F33A1E7">
        <w:rPr>
          <w:rFonts w:ascii="Arial" w:hAnsi="Arial" w:eastAsia="Arial" w:cs="Arial"/>
          <w:noProof w:val="0"/>
          <w:color w:val="000000" w:themeColor="text1" w:themeTint="FF" w:themeShade="FF"/>
          <w:sz w:val="24"/>
          <w:szCs w:val="24"/>
          <w:lang w:val="en-US"/>
        </w:rPr>
        <w:t xml:space="preserve"> </w:t>
      </w:r>
    </w:p>
    <w:p xmlns:wp14="http://schemas.microsoft.com/office/word/2010/wordml" w:rsidP="24E532BB" wp14:paraId="255C55A5" wp14:textId="2DA4674A">
      <w:pPr>
        <w:spacing w:before="0" w:beforeAutospacing="off" w:after="1" w:afterAutospacing="off" w:line="235" w:lineRule="auto"/>
        <w:ind w:left="-5" w:right="0" w:hanging="10"/>
      </w:pPr>
      <w:r w:rsidRPr="24E532BB" w:rsidR="3F33A1E7">
        <w:rPr>
          <w:rFonts w:ascii="Arial" w:hAnsi="Arial" w:eastAsia="Arial" w:cs="Arial"/>
          <w:noProof w:val="0"/>
          <w:color w:val="000000" w:themeColor="text1" w:themeTint="FF" w:themeShade="FF"/>
          <w:sz w:val="15"/>
          <w:szCs w:val="15"/>
          <w:lang w:val="en-US"/>
        </w:rPr>
        <w:t>C-26AUG-13</w:t>
      </w:r>
    </w:p>
    <w:p xmlns:wp14="http://schemas.microsoft.com/office/word/2010/wordml" wp14:paraId="2C078E63" wp14:textId="7991DE22"/>
    <w:sectPr>
      <w:pgSz w:w="12240" w:h="15840" w:orient="portrait"/>
      <w:pgMar w:top="1440" w:right="1440" w:bottom="1440" w:left="1440" w:header="720" w:footer="720" w:gutter="0"/>
      <w:cols w:space="720"/>
      <w:docGrid w:linePitch="360"/>
      <w:headerReference w:type="default" r:id="Rd73157a39aba4ef0"/>
      <w:footerReference w:type="default" r:id="R096c779fe4c946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4E532BB" w:rsidTr="24E532BB" w14:paraId="7C02035D">
      <w:trPr>
        <w:trHeight w:val="300"/>
      </w:trPr>
      <w:tc>
        <w:tcPr>
          <w:tcW w:w="3120" w:type="dxa"/>
          <w:tcMar/>
        </w:tcPr>
        <w:p w:rsidR="24E532BB" w:rsidP="24E532BB" w:rsidRDefault="24E532BB" w14:paraId="2B9EF69B" w14:textId="5E28325E">
          <w:pPr>
            <w:pStyle w:val="Header"/>
            <w:bidi w:val="0"/>
            <w:ind w:left="-115"/>
            <w:jc w:val="left"/>
          </w:pPr>
        </w:p>
      </w:tc>
      <w:tc>
        <w:tcPr>
          <w:tcW w:w="3120" w:type="dxa"/>
          <w:tcMar/>
        </w:tcPr>
        <w:p w:rsidR="24E532BB" w:rsidP="24E532BB" w:rsidRDefault="24E532BB" w14:paraId="1223299E" w14:textId="071058FB">
          <w:pPr>
            <w:pStyle w:val="Header"/>
            <w:bidi w:val="0"/>
            <w:jc w:val="center"/>
          </w:pPr>
        </w:p>
      </w:tc>
      <w:tc>
        <w:tcPr>
          <w:tcW w:w="3120" w:type="dxa"/>
          <w:tcMar/>
        </w:tcPr>
        <w:p w:rsidR="24E532BB" w:rsidP="24E532BB" w:rsidRDefault="24E532BB" w14:paraId="37A311EA" w14:textId="2F06B605">
          <w:pPr>
            <w:pStyle w:val="Header"/>
            <w:bidi w:val="0"/>
            <w:ind w:right="-115"/>
            <w:jc w:val="right"/>
          </w:pPr>
        </w:p>
      </w:tc>
    </w:tr>
  </w:tbl>
  <w:p w:rsidR="24E532BB" w:rsidP="24E532BB" w:rsidRDefault="24E532BB" w14:paraId="39DC1246" w14:textId="169E2E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4E532BB" w:rsidTr="24E532BB" w14:paraId="14027434">
      <w:trPr>
        <w:trHeight w:val="300"/>
      </w:trPr>
      <w:tc>
        <w:tcPr>
          <w:tcW w:w="3120" w:type="dxa"/>
          <w:tcMar/>
        </w:tcPr>
        <w:p w:rsidR="24E532BB" w:rsidP="24E532BB" w:rsidRDefault="24E532BB" w14:paraId="345FC151" w14:textId="7621FF4B">
          <w:pPr>
            <w:pStyle w:val="Header"/>
            <w:bidi w:val="0"/>
            <w:ind w:left="-115"/>
            <w:jc w:val="left"/>
          </w:pPr>
        </w:p>
      </w:tc>
      <w:tc>
        <w:tcPr>
          <w:tcW w:w="3120" w:type="dxa"/>
          <w:tcMar/>
        </w:tcPr>
        <w:p w:rsidR="24E532BB" w:rsidP="24E532BB" w:rsidRDefault="24E532BB" w14:paraId="56E9E784" w14:textId="70593CB9">
          <w:pPr>
            <w:pStyle w:val="Header"/>
            <w:bidi w:val="0"/>
            <w:jc w:val="center"/>
          </w:pPr>
        </w:p>
      </w:tc>
      <w:tc>
        <w:tcPr>
          <w:tcW w:w="3120" w:type="dxa"/>
          <w:tcMar/>
        </w:tcPr>
        <w:p w:rsidR="24E532BB" w:rsidP="24E532BB" w:rsidRDefault="24E532BB" w14:paraId="5B774459" w14:textId="2E590715">
          <w:pPr>
            <w:pStyle w:val="Header"/>
            <w:bidi w:val="0"/>
            <w:ind w:right="-115"/>
            <w:jc w:val="right"/>
          </w:pPr>
          <w:r w:rsidR="24E532BB">
            <w:drawing>
              <wp:inline wp14:editId="71894C05" wp14:anchorId="6CA340D4">
                <wp:extent cx="1276350" cy="361950"/>
                <wp:effectExtent l="0" t="0" r="0" b="0"/>
                <wp:docPr id="1162313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6231399" name="Picture 11623139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0674275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76350" cy="361950"/>
                        </a:xfrm>
                        <a:prstGeom xmlns:a="http://schemas.openxmlformats.org/drawingml/2006/main" prst="rect">
                          <a:avLst xmlns:a="http://schemas.openxmlformats.org/drawingml/2006/main"/>
                        </a:prstGeom>
                      </pic:spPr>
                    </pic:pic>
                  </a:graphicData>
                </a:graphic>
              </wp:inline>
            </w:drawing>
          </w:r>
        </w:p>
      </w:tc>
    </w:tr>
  </w:tbl>
  <w:p w:rsidR="24E532BB" w:rsidP="24E532BB" w:rsidRDefault="24E532BB" w14:paraId="09E68114" w14:textId="14E5AE30">
    <w:pPr>
      <w:pStyle w:val="Header"/>
      <w:bidi w:val="0"/>
    </w:pPr>
  </w:p>
</w:hdr>
</file>

<file path=word/numbering.xml><?xml version="1.0" encoding="utf-8"?>
<w:numbering xmlns:w="http://schemas.openxmlformats.org/wordprocessingml/2006/main">
  <w:abstractNum xmlns:w="http://schemas.openxmlformats.org/wordprocessingml/2006/main" w:abstractNumId="10">
    <w:nsid w:val="47353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fee3e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b2484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af594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0e838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585bf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808f7dc"/>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b7aa8c9"/>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ca65a07"/>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ada5243"/>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2E30C"/>
    <w:rsid w:val="24E532BB"/>
    <w:rsid w:val="2852E30C"/>
    <w:rsid w:val="33C04962"/>
    <w:rsid w:val="36DF8FF9"/>
    <w:rsid w:val="3F33A1E7"/>
    <w:rsid w:val="4506D5BA"/>
    <w:rsid w:val="4E9CF8B2"/>
    <w:rsid w:val="52D484A4"/>
    <w:rsid w:val="57596047"/>
    <w:rsid w:val="6E7ED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9701"/>
  <w15:chartTrackingRefBased/>
  <w15:docId w15:val="{FCD5BFC5-5F25-4D39-8AFA-17F653B69F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4E532B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24E532BB"/>
    <w:pPr>
      <w:spacing/>
      <w:ind w:left="720"/>
      <w:contextualSpacing/>
    </w:pPr>
  </w:style>
  <w:style w:type="character" w:styleId="Hyperlink">
    <w:uiPriority w:val="99"/>
    <w:name w:val="Hyperlink"/>
    <w:basedOn w:val="DefaultParagraphFont"/>
    <w:unhideWhenUsed/>
    <w:rsid w:val="24E532BB"/>
    <w:rPr>
      <w:color w:val="467886"/>
      <w:u w:val="single"/>
    </w:rPr>
  </w:style>
  <w:style w:type="paragraph" w:styleId="Header">
    <w:uiPriority w:val="99"/>
    <w:name w:val="header"/>
    <w:basedOn w:val="Normal"/>
    <w:unhideWhenUsed/>
    <w:rsid w:val="24E532BB"/>
    <w:pPr>
      <w:tabs>
        <w:tab w:val="center" w:leader="none" w:pos="4680"/>
        <w:tab w:val="right" w:leader="none" w:pos="9360"/>
      </w:tabs>
      <w:spacing w:after="0" w:line="240" w:lineRule="auto"/>
    </w:pPr>
  </w:style>
  <w:style w:type="paragraph" w:styleId="Footer">
    <w:uiPriority w:val="99"/>
    <w:name w:val="footer"/>
    <w:basedOn w:val="Normal"/>
    <w:unhideWhenUsed/>
    <w:rsid w:val="24E532B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ilsos.gov/content/dam/departments/index/register/volume50/register_volume50_27.pdf#page=113" TargetMode="External" Id="R80ca71aaaffd4286" /><Relationship Type="http://schemas.openxmlformats.org/officeDocument/2006/relationships/hyperlink" Target="https://www.ilsos.gov/content/dam/departments/index/register/volume50/register_volume50_27.pdf#page=113" TargetMode="External" Id="Ra9775eda3c25445d" /><Relationship Type="http://schemas.openxmlformats.org/officeDocument/2006/relationships/hyperlink" Target="https://www.ilsos.gov/content/dam/departments/index/register/volume50/register_volume50_27.pdf" TargetMode="External" Id="R95f6496fc435478e" /><Relationship Type="http://schemas.openxmlformats.org/officeDocument/2006/relationships/hyperlink" Target="https://www.ilsos.gov/content/dam/departments/index/register/volume50/register_volume50_27.pdf" TargetMode="External" Id="R51d6c78b2a1644c5" /><Relationship Type="http://schemas.openxmlformats.org/officeDocument/2006/relationships/header" Target="header.xml" Id="Rd73157a39aba4ef0" /><Relationship Type="http://schemas.openxmlformats.org/officeDocument/2006/relationships/footer" Target="footer.xml" Id="R096c779fe4c94654" /><Relationship Type="http://schemas.openxmlformats.org/officeDocument/2006/relationships/numbering" Target="numbering.xml" Id="R8d320854c2164448" /></Relationships>
</file>

<file path=word/_rels/header.xml.rels>&#65279;<?xml version="1.0" encoding="utf-8"?><Relationships xmlns="http://schemas.openxmlformats.org/package/2006/relationships"><Relationship Type="http://schemas.openxmlformats.org/officeDocument/2006/relationships/image" Target="/media/image.png" Id="rId30674275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2026-09-02T20:59:41.5561592Z</dcterms:created>
  <dcterms:modified xsi:type="dcterms:W3CDTF">2026-09-02T21:43:38.6398212Z</dcterms:modified>
  <dc:creator>Valentina Garcia</dc:creator>
  <lastModifiedBy>Lora Patterson</lastModifiedBy>
</coreProperties>
</file>